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4A596" w14:textId="77777777" w:rsidR="009F31B0" w:rsidRPr="009F31B0" w:rsidRDefault="009F31B0" w:rsidP="009F31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color w:val="1A1A1A"/>
          <w:sz w:val="26"/>
          <w:szCs w:val="26"/>
          <w:lang w:eastAsia="zh-TW"/>
        </w:rPr>
      </w:pPr>
      <w:r w:rsidRPr="009F31B0">
        <w:rPr>
          <w:rFonts w:ascii="Arial" w:hAnsi="Arial" w:cs="Arial"/>
          <w:color w:val="1A1A1A"/>
          <w:sz w:val="26"/>
          <w:szCs w:val="26"/>
        </w:rPr>
        <w:t xml:space="preserve">Y6Hope </w:t>
      </w:r>
      <w:r w:rsidRPr="009F31B0">
        <w:rPr>
          <w:rFonts w:ascii="Arial" w:hAnsi="Arial" w:cs="Arial" w:hint="eastAsia"/>
          <w:color w:val="1A1A1A"/>
          <w:sz w:val="26"/>
          <w:szCs w:val="26"/>
          <w:lang w:eastAsia="zh-TW"/>
        </w:rPr>
        <w:t>中文科</w:t>
      </w:r>
    </w:p>
    <w:p w14:paraId="7EC129D4" w14:textId="77777777" w:rsidR="009F31B0" w:rsidRDefault="009F31B0" w:rsidP="009F31B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1A1A1A"/>
          <w:sz w:val="26"/>
          <w:szCs w:val="26"/>
          <w:lang w:eastAsia="zh-TW"/>
        </w:rPr>
      </w:pPr>
    </w:p>
    <w:p w14:paraId="536EAF04" w14:textId="77777777" w:rsidR="009F31B0" w:rsidRPr="009F31B0" w:rsidRDefault="009F31B0" w:rsidP="009F31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 w:hint="eastAsia"/>
          <w:color w:val="1A1A1A"/>
          <w:sz w:val="26"/>
          <w:szCs w:val="26"/>
          <w:lang w:eastAsia="zh-TW"/>
        </w:rPr>
      </w:pPr>
      <w:r w:rsidRPr="009F31B0">
        <w:rPr>
          <w:rFonts w:ascii="Arial" w:hAnsi="Arial" w:cs="Arial"/>
          <w:color w:val="1A1A1A"/>
          <w:sz w:val="26"/>
          <w:szCs w:val="26"/>
          <w:lang w:eastAsia="zh-TW"/>
        </w:rPr>
        <w:t xml:space="preserve">SAW </w:t>
      </w:r>
      <w:bookmarkStart w:id="0" w:name="_GoBack"/>
      <w:bookmarkEnd w:id="0"/>
      <w:r w:rsidRPr="009F31B0">
        <w:rPr>
          <w:rFonts w:ascii="Arial" w:hAnsi="Arial" w:cs="Arial" w:hint="eastAsia"/>
          <w:color w:val="1A1A1A"/>
          <w:sz w:val="26"/>
          <w:szCs w:val="26"/>
          <w:lang w:eastAsia="zh-TW"/>
        </w:rPr>
        <w:t>温習資料補充</w:t>
      </w:r>
    </w:p>
    <w:p w14:paraId="583CFE33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 w:hint="eastAsia"/>
          <w:color w:val="1A1A1A"/>
          <w:sz w:val="26"/>
          <w:szCs w:val="26"/>
          <w:lang w:eastAsia="zh-TW"/>
        </w:rPr>
      </w:pPr>
    </w:p>
    <w:p w14:paraId="36F0CAE3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  <w:lang w:eastAsia="zh-TW"/>
        </w:rPr>
      </w:pPr>
    </w:p>
    <w:p w14:paraId="4EA43091" w14:textId="77777777" w:rsidR="009F31B0" w:rsidRPr="009F31B0" w:rsidRDefault="009F31B0" w:rsidP="009F31B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  <w:lang w:eastAsia="zh-TW"/>
        </w:rPr>
      </w:pPr>
      <w:r w:rsidRPr="009F31B0">
        <w:rPr>
          <w:rFonts w:ascii="Arial" w:hAnsi="Arial" w:cs="Arial"/>
          <w:color w:val="1A1A1A"/>
          <w:sz w:val="26"/>
          <w:szCs w:val="26"/>
        </w:rPr>
        <w:t>考試範圍涵蓋整個學年，包括上學期和下學期的所有單元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 xml:space="preserve">    </w:t>
      </w:r>
      <w:r w:rsidRPr="009F31B0">
        <w:rPr>
          <w:rFonts w:ascii="Arial" w:hAnsi="Arial" w:cs="Arial"/>
          <w:color w:val="1A1A1A"/>
          <w:sz w:val="26"/>
          <w:szCs w:val="26"/>
        </w:rPr>
        <w:t>（</w:t>
      </w:r>
      <w:proofErr w:type="spellStart"/>
      <w:r w:rsidRPr="009F31B0">
        <w:rPr>
          <w:rFonts w:ascii="Arial" w:hAnsi="Arial" w:cs="Arial"/>
          <w:color w:val="1A1A1A"/>
          <w:sz w:val="26"/>
          <w:szCs w:val="26"/>
        </w:rPr>
        <w:t>包括</w:t>
      </w:r>
      <w:r w:rsidRPr="009F31B0">
        <w:rPr>
          <w:rFonts w:ascii="ヒラギノ明朝 ProN W3" w:eastAsia="ヒラギノ明朝 ProN W3" w:hAnsi="ヒラギノ明朝 ProN W3" w:cs="ヒラギノ明朝 ProN W3" w:hint="eastAsia"/>
          <w:color w:val="1A1A1A"/>
          <w:sz w:val="26"/>
          <w:szCs w:val="26"/>
        </w:rPr>
        <w:t>說</w:t>
      </w:r>
      <w:r w:rsidRPr="009F31B0">
        <w:rPr>
          <w:rFonts w:ascii="Arial" w:hAnsi="Arial" w:cs="Arial"/>
          <w:color w:val="1A1A1A"/>
          <w:sz w:val="26"/>
          <w:szCs w:val="26"/>
        </w:rPr>
        <w:t>明單元、敍事寫人單元、古文單元、詩歌單元、議論單元</w:t>
      </w:r>
      <w:proofErr w:type="spellEnd"/>
      <w:r w:rsidRPr="009F31B0">
        <w:rPr>
          <w:rFonts w:ascii="Arial" w:hAnsi="Arial" w:cs="Arial"/>
          <w:color w:val="1A1A1A"/>
          <w:sz w:val="26"/>
          <w:szCs w:val="26"/>
        </w:rPr>
        <w:t>）</w:t>
      </w:r>
    </w:p>
    <w:p w14:paraId="0BE81D2B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62B3C313" w14:textId="77777777" w:rsidR="009F31B0" w:rsidRPr="009F31B0" w:rsidRDefault="009F31B0" w:rsidP="009F31B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考試共有</w:t>
      </w:r>
      <w:r w:rsidRPr="009F31B0">
        <w:rPr>
          <w:rFonts w:ascii="Arial" w:hAnsi="Arial" w:cs="Arial"/>
          <w:b/>
          <w:color w:val="1A1A1A"/>
          <w:sz w:val="26"/>
          <w:szCs w:val="26"/>
        </w:rPr>
        <w:t>兩道題目</w:t>
      </w:r>
      <w:r>
        <w:rPr>
          <w:rFonts w:ascii="Arial" w:hAnsi="Arial" w:cs="Arial"/>
          <w:color w:val="1A1A1A"/>
          <w:sz w:val="26"/>
          <w:szCs w:val="26"/>
        </w:rPr>
        <w:t>，</w:t>
      </w:r>
      <w:r w:rsidRPr="009F31B0">
        <w:rPr>
          <w:rFonts w:ascii="Arial" w:hAnsi="Arial" w:cs="Arial"/>
          <w:b/>
          <w:color w:val="1A1A1A"/>
          <w:sz w:val="26"/>
          <w:szCs w:val="26"/>
          <w:u w:val="single"/>
        </w:rPr>
        <w:t>任擇一題</w:t>
      </w:r>
      <w:r w:rsidRPr="009F31B0">
        <w:rPr>
          <w:rFonts w:ascii="Arial" w:hAnsi="Arial" w:cs="Arial"/>
          <w:color w:val="1A1A1A"/>
          <w:sz w:val="26"/>
          <w:szCs w:val="26"/>
        </w:rPr>
        <w:t>作答。</w:t>
      </w:r>
    </w:p>
    <w:p w14:paraId="254FA28B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7B1B84E3" w14:textId="77777777" w:rsidR="009F31B0" w:rsidRPr="009F31B0" w:rsidRDefault="009F31B0" w:rsidP="009F31B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9F31B0">
        <w:rPr>
          <w:rFonts w:ascii="Arial" w:hAnsi="Arial" w:cs="Arial"/>
          <w:color w:val="1A1A1A"/>
          <w:sz w:val="26"/>
          <w:szCs w:val="26"/>
        </w:rPr>
        <w:t>考試以寫作形式進行，沒有口試和聆聽，或其他諸如</w:t>
      </w:r>
      <w:r w:rsidRPr="009F31B0">
        <w:rPr>
          <w:rFonts w:ascii="ヒラギノ明朝 ProN W3" w:eastAsia="ヒラギノ明朝 ProN W3" w:hAnsi="ヒラギノ明朝 ProN W3" w:cs="ヒラギノ明朝 ProN W3" w:hint="eastAsia"/>
          <w:color w:val="1A1A1A"/>
          <w:sz w:val="26"/>
          <w:szCs w:val="26"/>
        </w:rPr>
        <w:t>閱</w:t>
      </w:r>
      <w:r>
        <w:rPr>
          <w:rFonts w:ascii="Arial" w:hAnsi="Arial" w:cs="Arial"/>
          <w:color w:val="1A1A1A"/>
          <w:sz w:val="26"/>
          <w:szCs w:val="26"/>
        </w:rPr>
        <w:t>讀理解、語文運用等形式之考核</w:t>
      </w:r>
      <w:r>
        <w:rPr>
          <w:rFonts w:ascii="新細明體" w:eastAsia="新細明體" w:hAnsi="新細明體" w:cs="新細明體" w:hint="eastAsia"/>
          <w:color w:val="1A1A1A"/>
          <w:sz w:val="26"/>
          <w:szCs w:val="26"/>
          <w:lang w:eastAsia="zh-TW"/>
        </w:rPr>
        <w:t>內</w:t>
      </w:r>
      <w:r w:rsidRPr="009F31B0">
        <w:rPr>
          <w:rFonts w:ascii="Arial" w:hAnsi="Arial" w:cs="Arial"/>
          <w:color w:val="1A1A1A"/>
          <w:sz w:val="26"/>
          <w:szCs w:val="26"/>
        </w:rPr>
        <w:t>容。</w:t>
      </w:r>
    </w:p>
    <w:p w14:paraId="69C5E2DC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679D0F6D" w14:textId="77777777" w:rsidR="009F31B0" w:rsidRPr="009F31B0" w:rsidRDefault="009F31B0" w:rsidP="009F31B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 w:rsidRPr="009F31B0">
        <w:rPr>
          <w:rFonts w:ascii="Arial" w:hAnsi="Arial" w:cs="Arial"/>
          <w:color w:val="1A1A1A"/>
          <w:sz w:val="26"/>
          <w:szCs w:val="26"/>
        </w:rPr>
        <w:t>學生應熟讀各單元所教之課文，掌握單元學習重點。</w:t>
      </w:r>
    </w:p>
    <w:p w14:paraId="0F65ABF5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 w:hint="eastAsia"/>
          <w:color w:val="1A1A1A"/>
          <w:sz w:val="26"/>
          <w:szCs w:val="26"/>
          <w:lang w:eastAsia="zh-TW"/>
        </w:rPr>
      </w:pPr>
    </w:p>
    <w:p w14:paraId="4A8283EF" w14:textId="77777777" w:rsidR="009F31B0" w:rsidRPr="009F31B0" w:rsidRDefault="009F31B0" w:rsidP="009F31B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 w:hint="eastAsia"/>
          <w:color w:val="1A1A1A"/>
          <w:sz w:val="26"/>
          <w:szCs w:val="26"/>
          <w:lang w:eastAsia="zh-TW"/>
        </w:rPr>
      </w:pPr>
      <w:r>
        <w:rPr>
          <w:rFonts w:ascii="Arial" w:hAnsi="Arial" w:cs="Arial"/>
          <w:color w:val="1A1A1A"/>
          <w:sz w:val="26"/>
          <w:szCs w:val="26"/>
        </w:rPr>
        <w:t>作文雖然不是備稿考試，但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仍然可以</w:t>
      </w:r>
      <w:r>
        <w:rPr>
          <w:rFonts w:ascii="Arial" w:hAnsi="Arial" w:cs="Arial"/>
          <w:color w:val="1A1A1A"/>
          <w:sz w:val="26"/>
          <w:szCs w:val="26"/>
        </w:rPr>
        <w:t>作事前預備，例如</w:t>
      </w:r>
      <w:r w:rsidRPr="009F31B0">
        <w:rPr>
          <w:rFonts w:ascii="Arial" w:hAnsi="Arial" w:cs="Arial"/>
          <w:color w:val="1A1A1A"/>
          <w:sz w:val="26"/>
          <w:szCs w:val="26"/>
        </w:rPr>
        <w:t>古文單元、詩歌單元和議論單元皆環繞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人際關係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>
        <w:rPr>
          <w:rFonts w:ascii="Arial" w:hAnsi="Arial" w:cs="Arial"/>
          <w:color w:val="1A1A1A"/>
          <w:sz w:val="26"/>
          <w:szCs w:val="26"/>
        </w:rPr>
        <w:t>，故</w:t>
      </w:r>
      <w:r w:rsidRPr="009F31B0">
        <w:rPr>
          <w:rFonts w:ascii="Arial" w:hAnsi="Arial" w:cs="Arial"/>
          <w:color w:val="1A1A1A"/>
          <w:sz w:val="26"/>
          <w:szCs w:val="26"/>
        </w:rPr>
        <w:t>可以多從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交友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 w:rsidRPr="009F31B0">
        <w:rPr>
          <w:rFonts w:ascii="Arial" w:hAnsi="Arial" w:cs="Arial"/>
          <w:color w:val="1A1A1A"/>
          <w:sz w:val="26"/>
          <w:szCs w:val="26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合作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 w:rsidRPr="009F31B0">
        <w:rPr>
          <w:rFonts w:ascii="Arial" w:hAnsi="Arial" w:cs="Arial"/>
          <w:color w:val="1A1A1A"/>
          <w:sz w:val="26"/>
          <w:szCs w:val="26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雙贏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 w:rsidRPr="009F31B0">
        <w:rPr>
          <w:rFonts w:ascii="Arial" w:hAnsi="Arial" w:cs="Arial"/>
          <w:color w:val="1A1A1A"/>
          <w:sz w:val="26"/>
          <w:szCs w:val="26"/>
        </w:rPr>
        <w:t>、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團結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」、「處</w:t>
      </w:r>
      <w:r w:rsidRPr="009F31B0">
        <w:rPr>
          <w:rFonts w:ascii="Arial" w:hAnsi="Arial" w:cs="Arial"/>
          <w:color w:val="1A1A1A"/>
          <w:sz w:val="26"/>
          <w:szCs w:val="26"/>
        </w:rPr>
        <w:t>世待人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」等</w:t>
      </w:r>
      <w:r w:rsidRPr="009F31B0">
        <w:rPr>
          <w:rFonts w:ascii="Arial" w:hAnsi="Arial" w:cs="Arial"/>
          <w:color w:val="1A1A1A"/>
          <w:sz w:val="26"/>
          <w:szCs w:val="26"/>
        </w:rPr>
        <w:t>範疇去構想預備材料。例如收集相關名言佳句，加以背誦。</w:t>
      </w:r>
    </w:p>
    <w:p w14:paraId="0C0C4EEE" w14:textId="77777777" w:rsidR="009F31B0" w:rsidRDefault="009F31B0" w:rsidP="009F31B0">
      <w:pPr>
        <w:widowControl w:val="0"/>
        <w:autoSpaceDE w:val="0"/>
        <w:autoSpaceDN w:val="0"/>
        <w:adjustRightInd w:val="0"/>
        <w:rPr>
          <w:rFonts w:ascii="Arial" w:hAnsi="Arial" w:cs="Arial" w:hint="eastAsia"/>
          <w:color w:val="1A1A1A"/>
          <w:sz w:val="26"/>
          <w:szCs w:val="26"/>
          <w:lang w:eastAsia="zh-TW"/>
        </w:rPr>
      </w:pPr>
    </w:p>
    <w:p w14:paraId="4F3CB18A" w14:textId="77777777" w:rsidR="00BC7C01" w:rsidRDefault="009F31B0" w:rsidP="009F31B0">
      <w:pPr>
        <w:pStyle w:val="ListParagraph"/>
        <w:numPr>
          <w:ilvl w:val="0"/>
          <w:numId w:val="4"/>
        </w:numPr>
      </w:pPr>
      <w:r>
        <w:rPr>
          <w:rFonts w:ascii="Arial" w:hAnsi="Arial" w:cs="Arial"/>
          <w:color w:val="1A1A1A"/>
          <w:sz w:val="26"/>
          <w:szCs w:val="26"/>
        </w:rPr>
        <w:t>敍事寫人應以敍事為主，</w:t>
      </w:r>
      <w:r w:rsidRPr="009F31B0">
        <w:rPr>
          <w:rFonts w:ascii="Arial" w:hAnsi="Arial" w:cs="Arial"/>
          <w:color w:val="1A1A1A"/>
          <w:sz w:val="26"/>
          <w:szCs w:val="26"/>
        </w:rPr>
        <w:t>溫習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六何法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 w:rsidRPr="009F31B0">
        <w:rPr>
          <w:rFonts w:ascii="Arial" w:hAnsi="Arial" w:cs="Arial"/>
          <w:color w:val="1A1A1A"/>
          <w:sz w:val="26"/>
          <w:szCs w:val="26"/>
        </w:rPr>
        <w:t>和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「</w:t>
      </w:r>
      <w:r w:rsidRPr="009F31B0">
        <w:rPr>
          <w:rFonts w:ascii="Arial" w:hAnsi="Arial" w:cs="Arial"/>
          <w:color w:val="1A1A1A"/>
          <w:sz w:val="26"/>
          <w:szCs w:val="26"/>
        </w:rPr>
        <w:t>有條理地敍事</w:t>
      </w:r>
      <w:r>
        <w:rPr>
          <w:rFonts w:ascii="Arial" w:hAnsi="Arial" w:cs="Arial" w:hint="eastAsia"/>
          <w:color w:val="1A1A1A"/>
          <w:sz w:val="26"/>
          <w:szCs w:val="26"/>
          <w:lang w:eastAsia="zh-TW"/>
        </w:rPr>
        <w:t>」</w:t>
      </w:r>
      <w:r w:rsidRPr="009F31B0">
        <w:rPr>
          <w:rFonts w:ascii="Arial" w:hAnsi="Arial" w:cs="Arial"/>
          <w:color w:val="1A1A1A"/>
          <w:sz w:val="26"/>
          <w:szCs w:val="26"/>
        </w:rPr>
        <w:t>，注意突出文章主題或重點，不要流水記賬。</w:t>
      </w:r>
    </w:p>
    <w:sectPr w:rsidR="00BC7C01" w:rsidSect="00BC7C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明朝 ProN W3">
    <w:charset w:val="4E"/>
    <w:family w:val="auto"/>
    <w:pitch w:val="variable"/>
    <w:sig w:usb0="E00002FF" w:usb1="7AC7FFFF" w:usb2="00000012" w:usb3="00000000" w:csb0="0002000D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5558"/>
    <w:multiLevelType w:val="hybridMultilevel"/>
    <w:tmpl w:val="D15083A6"/>
    <w:lvl w:ilvl="0" w:tplc="13702A5A">
      <w:start w:val="1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14D62"/>
    <w:multiLevelType w:val="hybridMultilevel"/>
    <w:tmpl w:val="1DBCFD32"/>
    <w:lvl w:ilvl="0" w:tplc="13702A5A">
      <w:start w:val="1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157EB"/>
    <w:multiLevelType w:val="hybridMultilevel"/>
    <w:tmpl w:val="52308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C773D"/>
    <w:multiLevelType w:val="hybridMultilevel"/>
    <w:tmpl w:val="8830375E"/>
    <w:lvl w:ilvl="0" w:tplc="13702A5A">
      <w:start w:val="1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0"/>
    <w:rsid w:val="008F683D"/>
    <w:rsid w:val="009F31B0"/>
    <w:rsid w:val="00BC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98C7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280</Characters>
  <Application>Microsoft Macintosh Word</Application>
  <DocSecurity>0</DocSecurity>
  <Lines>2</Lines>
  <Paragraphs>1</Paragraphs>
  <ScaleCrop>false</ScaleCrop>
  <Company>Victoria Shanghai Academy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Wan Yi Eunice</dc:creator>
  <cp:keywords/>
  <dc:description/>
  <cp:lastModifiedBy>Ho, Wan Yi Eunice</cp:lastModifiedBy>
  <cp:revision>2</cp:revision>
  <dcterms:created xsi:type="dcterms:W3CDTF">2014-05-19T07:57:00Z</dcterms:created>
  <dcterms:modified xsi:type="dcterms:W3CDTF">2014-05-19T08:07:00Z</dcterms:modified>
</cp:coreProperties>
</file>